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B773E" w14:textId="300D6158" w:rsidR="002004DD" w:rsidRPr="006733A2" w:rsidRDefault="002004DD" w:rsidP="00854381">
      <w:pPr>
        <w:pStyle w:val="BasicParagraph"/>
        <w:spacing w:line="240" w:lineRule="auto"/>
        <w:jc w:val="right"/>
        <w:rPr>
          <w:rFonts w:ascii="Verdana" w:hAnsi="Verdana" w:cs="TheSansB W6 SemiBold"/>
          <w:color w:val="174A7C"/>
          <w:spacing w:val="-5"/>
          <w:sz w:val="60"/>
          <w:szCs w:val="60"/>
        </w:rPr>
      </w:pPr>
      <w:r w:rsidRPr="006733A2">
        <w:rPr>
          <w:rFonts w:ascii="Verdana" w:hAnsi="Verdana" w:cs="TheSansB W6 SemiBold"/>
          <w:color w:val="174A7C"/>
          <w:spacing w:val="-5"/>
          <w:sz w:val="60"/>
          <w:szCs w:val="60"/>
        </w:rPr>
        <w:t>Billing schedule for</w:t>
      </w:r>
      <w:r w:rsidR="00B315AF" w:rsidRPr="006733A2">
        <w:rPr>
          <w:rFonts w:ascii="Verdana" w:hAnsi="Verdana" w:cs="TheSansB W6 SemiBold"/>
          <w:color w:val="174A7C"/>
          <w:spacing w:val="-5"/>
          <w:sz w:val="60"/>
          <w:szCs w:val="60"/>
        </w:rPr>
        <w:t xml:space="preserve"> </w:t>
      </w:r>
      <w:r w:rsidRPr="006733A2">
        <w:rPr>
          <w:rFonts w:ascii="Verdana" w:hAnsi="Verdana" w:cs="TheSansB W6 SemiBold"/>
          <w:color w:val="174A7C"/>
          <w:spacing w:val="-5"/>
          <w:sz w:val="60"/>
          <w:szCs w:val="60"/>
        </w:rPr>
        <w:t>Dr</w:t>
      </w:r>
      <w:r w:rsidR="00B315AF" w:rsidRPr="006733A2">
        <w:rPr>
          <w:rFonts w:ascii="Verdana" w:hAnsi="Verdana" w:cs="TheSansB W6 SemiBold"/>
          <w:color w:val="174A7C"/>
          <w:spacing w:val="-5"/>
          <w:sz w:val="60"/>
          <w:szCs w:val="60"/>
        </w:rPr>
        <w:t xml:space="preserve"> Patrick Tam</w:t>
      </w:r>
    </w:p>
    <w:p w14:paraId="62CEE11A" w14:textId="48FE5DF4" w:rsidR="00854381" w:rsidRPr="006733A2" w:rsidRDefault="007A6F7C" w:rsidP="00332FE7">
      <w:pPr>
        <w:pStyle w:val="BasicParagraph"/>
        <w:spacing w:line="240" w:lineRule="auto"/>
        <w:jc w:val="right"/>
        <w:rPr>
          <w:rFonts w:ascii="Verdana" w:hAnsi="Verdana" w:cs="TheSansB W6 SemiBold"/>
          <w:color w:val="E36F1E"/>
          <w:spacing w:val="-5"/>
          <w:sz w:val="56"/>
          <w:szCs w:val="56"/>
        </w:rPr>
      </w:pPr>
      <w:r>
        <w:rPr>
          <w:rFonts w:ascii="Verdana" w:hAnsi="Verdana" w:cs="TheSansB W6 SemiBold"/>
          <w:color w:val="E36F1E"/>
          <w:spacing w:val="-5"/>
          <w:sz w:val="56"/>
          <w:szCs w:val="56"/>
        </w:rPr>
        <w:t xml:space="preserve">1 </w:t>
      </w:r>
      <w:r w:rsidR="00A62A2B">
        <w:rPr>
          <w:rFonts w:ascii="Verdana" w:hAnsi="Verdana" w:cs="TheSansB W6 SemiBold"/>
          <w:color w:val="E36F1E"/>
          <w:spacing w:val="-5"/>
          <w:sz w:val="56"/>
          <w:szCs w:val="56"/>
        </w:rPr>
        <w:t>July</w:t>
      </w:r>
      <w:r>
        <w:rPr>
          <w:rFonts w:ascii="Verdana" w:hAnsi="Verdana" w:cs="TheSansB W6 SemiBold"/>
          <w:color w:val="E36F1E"/>
          <w:spacing w:val="-5"/>
          <w:sz w:val="56"/>
          <w:szCs w:val="56"/>
        </w:rPr>
        <w:t xml:space="preserve"> 2025</w:t>
      </w:r>
    </w:p>
    <w:p w14:paraId="2DA5AA0B" w14:textId="77777777" w:rsidR="001B6914" w:rsidRPr="006733A2" w:rsidRDefault="001B6914" w:rsidP="00854381">
      <w:pPr>
        <w:pStyle w:val="BasicParagraph"/>
        <w:suppressAutoHyphens/>
        <w:spacing w:before="113" w:line="240" w:lineRule="auto"/>
        <w:rPr>
          <w:rFonts w:ascii="Verdana" w:hAnsi="Verdana" w:cs="TheSansB W3 Light"/>
          <w:color w:val="174A7C"/>
          <w:spacing w:val="-2"/>
          <w:sz w:val="22"/>
          <w:szCs w:val="22"/>
        </w:rPr>
      </w:pPr>
    </w:p>
    <w:p w14:paraId="283B3617" w14:textId="77FF0B99" w:rsidR="00854381" w:rsidRPr="006733A2" w:rsidRDefault="00854381" w:rsidP="001B6914">
      <w:pPr>
        <w:pStyle w:val="BasicParagraph"/>
        <w:suppressAutoHyphens/>
        <w:spacing w:before="113" w:line="240" w:lineRule="auto"/>
        <w:jc w:val="both"/>
        <w:rPr>
          <w:rFonts w:ascii="Verdana" w:hAnsi="Verdana" w:cs="TheSansB W3 Light"/>
          <w:color w:val="174A7C"/>
          <w:spacing w:val="-2"/>
          <w:szCs w:val="22"/>
        </w:rPr>
      </w:pPr>
      <w:r w:rsidRPr="006733A2">
        <w:rPr>
          <w:rFonts w:ascii="Verdana" w:hAnsi="Verdana" w:cs="TheSansB W3 Light"/>
          <w:color w:val="174A7C"/>
          <w:spacing w:val="-2"/>
          <w:szCs w:val="22"/>
        </w:rPr>
        <w:t>Ochre Health supports private billing, with bulk billing available to some groups in line with Medicare guidelines. Please ask our friendly reception team for more details.</w:t>
      </w:r>
    </w:p>
    <w:p w14:paraId="1BE4D043" w14:textId="77777777" w:rsidR="00854381" w:rsidRPr="006733A2" w:rsidRDefault="00854381" w:rsidP="00854381">
      <w:pPr>
        <w:pStyle w:val="BasicParagraph"/>
        <w:suppressAutoHyphens/>
        <w:spacing w:before="113" w:line="240" w:lineRule="auto"/>
        <w:rPr>
          <w:rFonts w:ascii="Verdana" w:hAnsi="Verdana" w:cs="TheSansB W3 Light"/>
          <w:color w:val="174A7C"/>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2693"/>
        <w:gridCol w:w="2234"/>
      </w:tblGrid>
      <w:tr w:rsidR="002004DD" w:rsidRPr="006733A2" w14:paraId="4C2F1B32" w14:textId="77777777" w:rsidTr="004F3A9A">
        <w:trPr>
          <w:trHeight w:val="397"/>
        </w:trPr>
        <w:tc>
          <w:tcPr>
            <w:tcW w:w="2977" w:type="dxa"/>
            <w:vAlign w:val="bottom"/>
          </w:tcPr>
          <w:p w14:paraId="76876B2A" w14:textId="77777777" w:rsidR="002004DD" w:rsidRPr="006733A2" w:rsidRDefault="002004DD" w:rsidP="00854381">
            <w:pPr>
              <w:pStyle w:val="BasicParagraph"/>
              <w:jc w:val="center"/>
              <w:rPr>
                <w:rFonts w:ascii="Verdana" w:hAnsi="Verdana" w:cs="TheSansB W6 SemiBold"/>
                <w:b/>
                <w:bCs/>
                <w:color w:val="E36F1E"/>
                <w:spacing w:val="-5"/>
              </w:rPr>
            </w:pPr>
          </w:p>
        </w:tc>
        <w:tc>
          <w:tcPr>
            <w:tcW w:w="2552" w:type="dxa"/>
            <w:vAlign w:val="center"/>
          </w:tcPr>
          <w:p w14:paraId="44272511" w14:textId="5180E206" w:rsidR="002004DD" w:rsidRPr="006733A2" w:rsidRDefault="002004DD" w:rsidP="00854381">
            <w:pPr>
              <w:pStyle w:val="BasicParagraph"/>
              <w:tabs>
                <w:tab w:val="right" w:pos="1400"/>
                <w:tab w:val="left" w:pos="2840"/>
                <w:tab w:val="left" w:pos="5680"/>
                <w:tab w:val="left" w:pos="8500"/>
              </w:tabs>
              <w:spacing w:before="170"/>
              <w:jc w:val="center"/>
              <w:rPr>
                <w:rFonts w:ascii="Verdana" w:hAnsi="Verdana" w:cs="TheSansB W6 SemiBold"/>
                <w:b/>
                <w:bCs/>
                <w:color w:val="174A7C"/>
                <w:spacing w:val="-5"/>
              </w:rPr>
            </w:pPr>
            <w:r w:rsidRPr="006733A2">
              <w:rPr>
                <w:rFonts w:ascii="Verdana" w:hAnsi="Verdana" w:cs="TheSansB W6 SemiBold"/>
                <w:b/>
                <w:bCs/>
                <w:color w:val="174A7C"/>
                <w:spacing w:val="-3"/>
              </w:rPr>
              <w:t>Consultation fee</w:t>
            </w:r>
          </w:p>
        </w:tc>
        <w:tc>
          <w:tcPr>
            <w:tcW w:w="2693" w:type="dxa"/>
            <w:vAlign w:val="center"/>
          </w:tcPr>
          <w:p w14:paraId="2CC5CBED" w14:textId="346A8C50" w:rsidR="002004DD" w:rsidRPr="006733A2" w:rsidRDefault="002004DD" w:rsidP="00854381">
            <w:pPr>
              <w:pStyle w:val="BasicParagraph"/>
              <w:tabs>
                <w:tab w:val="right" w:pos="1400"/>
                <w:tab w:val="left" w:pos="2840"/>
                <w:tab w:val="left" w:pos="5680"/>
                <w:tab w:val="left" w:pos="8500"/>
              </w:tabs>
              <w:spacing w:before="170"/>
              <w:jc w:val="center"/>
              <w:rPr>
                <w:rFonts w:ascii="Verdana" w:hAnsi="Verdana" w:cs="TheSansB W6 SemiBold"/>
                <w:b/>
                <w:bCs/>
                <w:color w:val="174A7C"/>
                <w:spacing w:val="-5"/>
              </w:rPr>
            </w:pPr>
            <w:r w:rsidRPr="006733A2">
              <w:rPr>
                <w:rFonts w:ascii="Verdana" w:hAnsi="Verdana" w:cs="TheSansB W6 SemiBold"/>
                <w:b/>
                <w:bCs/>
                <w:color w:val="174A7C"/>
                <w:spacing w:val="-3"/>
              </w:rPr>
              <w:t>Medicare Rebate</w:t>
            </w:r>
          </w:p>
        </w:tc>
        <w:tc>
          <w:tcPr>
            <w:tcW w:w="2234" w:type="dxa"/>
            <w:vAlign w:val="center"/>
          </w:tcPr>
          <w:p w14:paraId="3B2D1944" w14:textId="3CC850CB" w:rsidR="002004DD" w:rsidRPr="006733A2" w:rsidRDefault="002004DD" w:rsidP="00854381">
            <w:pPr>
              <w:pStyle w:val="BasicParagraph"/>
              <w:tabs>
                <w:tab w:val="right" w:pos="1400"/>
                <w:tab w:val="left" w:pos="2840"/>
                <w:tab w:val="left" w:pos="5680"/>
                <w:tab w:val="left" w:pos="8500"/>
              </w:tabs>
              <w:spacing w:before="170"/>
              <w:jc w:val="center"/>
              <w:rPr>
                <w:rFonts w:ascii="Verdana" w:hAnsi="Verdana" w:cs="TheSansB W6 SemiBold"/>
                <w:b/>
                <w:bCs/>
                <w:color w:val="174A7C"/>
                <w:spacing w:val="-5"/>
              </w:rPr>
            </w:pPr>
            <w:r w:rsidRPr="006733A2">
              <w:rPr>
                <w:rFonts w:ascii="Verdana" w:hAnsi="Verdana" w:cs="TheSansB W6 SemiBold"/>
                <w:b/>
                <w:bCs/>
                <w:color w:val="174A7C"/>
                <w:spacing w:val="-3"/>
              </w:rPr>
              <w:t>Out of pocket</w:t>
            </w:r>
          </w:p>
        </w:tc>
      </w:tr>
      <w:tr w:rsidR="002004DD" w:rsidRPr="006733A2" w14:paraId="5475141D" w14:textId="77777777" w:rsidTr="004F3A9A">
        <w:trPr>
          <w:trHeight w:val="397"/>
        </w:trPr>
        <w:tc>
          <w:tcPr>
            <w:tcW w:w="2977" w:type="dxa"/>
            <w:vAlign w:val="bottom"/>
          </w:tcPr>
          <w:p w14:paraId="463330AB" w14:textId="1862E61E"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b/>
                <w:bCs/>
                <w:color w:val="E36F1E"/>
              </w:rPr>
              <w:t>3 (&lt; 5 min)</w:t>
            </w:r>
          </w:p>
        </w:tc>
        <w:tc>
          <w:tcPr>
            <w:tcW w:w="2552" w:type="dxa"/>
            <w:vAlign w:val="bottom"/>
          </w:tcPr>
          <w:p w14:paraId="34DEF25A" w14:textId="64B01F50" w:rsidR="002004DD" w:rsidRPr="006733A2" w:rsidRDefault="002004DD" w:rsidP="00854381">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4538E8">
              <w:rPr>
                <w:rFonts w:ascii="Verdana" w:hAnsi="Verdana" w:cs="TheSansB W6 SemiBold"/>
                <w:color w:val="174A7C"/>
                <w:spacing w:val="-5"/>
              </w:rPr>
              <w:t>60</w:t>
            </w:r>
            <w:r w:rsidRPr="006733A2">
              <w:rPr>
                <w:rFonts w:ascii="Verdana" w:hAnsi="Verdana" w:cs="TheSansB W6 SemiBold"/>
                <w:color w:val="174A7C"/>
                <w:spacing w:val="-5"/>
              </w:rPr>
              <w:t>.00</w:t>
            </w:r>
          </w:p>
        </w:tc>
        <w:tc>
          <w:tcPr>
            <w:tcW w:w="2693" w:type="dxa"/>
            <w:vAlign w:val="bottom"/>
          </w:tcPr>
          <w:p w14:paraId="6804458D" w14:textId="5316D24F" w:rsidR="002004DD" w:rsidRPr="006733A2" w:rsidRDefault="002004DD"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F93B2C">
              <w:rPr>
                <w:rFonts w:ascii="Verdana" w:hAnsi="Verdana" w:cs="TheSansB W6 SemiBold"/>
                <w:color w:val="174A7C"/>
                <w:spacing w:val="-5"/>
              </w:rPr>
              <w:t>20.05</w:t>
            </w:r>
          </w:p>
        </w:tc>
        <w:tc>
          <w:tcPr>
            <w:tcW w:w="2234" w:type="dxa"/>
            <w:vAlign w:val="bottom"/>
          </w:tcPr>
          <w:p w14:paraId="06ED30C8" w14:textId="182E7C31" w:rsidR="002004DD" w:rsidRPr="006733A2" w:rsidRDefault="002004DD" w:rsidP="000F61E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EC5D06">
              <w:rPr>
                <w:rFonts w:ascii="Verdana" w:hAnsi="Verdana" w:cs="TheSansB W6 SemiBold"/>
                <w:color w:val="174A7C"/>
                <w:spacing w:val="-5"/>
              </w:rPr>
              <w:t>39.95</w:t>
            </w:r>
          </w:p>
        </w:tc>
      </w:tr>
      <w:tr w:rsidR="002004DD" w:rsidRPr="006733A2" w14:paraId="0CCE017F" w14:textId="77777777" w:rsidTr="004F3A9A">
        <w:trPr>
          <w:trHeight w:val="397"/>
        </w:trPr>
        <w:tc>
          <w:tcPr>
            <w:tcW w:w="2977" w:type="dxa"/>
            <w:vAlign w:val="bottom"/>
          </w:tcPr>
          <w:p w14:paraId="2A9183DD" w14:textId="65ABE13E"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23 (5-&lt;20min)</w:t>
            </w:r>
          </w:p>
        </w:tc>
        <w:tc>
          <w:tcPr>
            <w:tcW w:w="2552" w:type="dxa"/>
            <w:vAlign w:val="bottom"/>
          </w:tcPr>
          <w:p w14:paraId="2B7C7B45" w14:textId="6ABAB37E" w:rsidR="002004DD" w:rsidRPr="006733A2" w:rsidRDefault="002004DD"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4538E8">
              <w:rPr>
                <w:rFonts w:ascii="Verdana" w:hAnsi="Verdana" w:cs="TheSansB W6 SemiBold"/>
                <w:color w:val="174A7C"/>
                <w:spacing w:val="-5"/>
              </w:rPr>
              <w:t>105</w:t>
            </w:r>
            <w:r w:rsidRPr="006733A2">
              <w:rPr>
                <w:rFonts w:ascii="Verdana" w:hAnsi="Verdana" w:cs="TheSansB W6 SemiBold"/>
                <w:color w:val="174A7C"/>
                <w:spacing w:val="-5"/>
              </w:rPr>
              <w:t>.00</w:t>
            </w:r>
          </w:p>
        </w:tc>
        <w:tc>
          <w:tcPr>
            <w:tcW w:w="2693" w:type="dxa"/>
            <w:vAlign w:val="bottom"/>
          </w:tcPr>
          <w:p w14:paraId="6191D291" w14:textId="00C29B01" w:rsidR="002004DD" w:rsidRPr="006733A2" w:rsidRDefault="002004DD"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43.90</w:t>
            </w:r>
          </w:p>
        </w:tc>
        <w:tc>
          <w:tcPr>
            <w:tcW w:w="2234" w:type="dxa"/>
            <w:vAlign w:val="bottom"/>
          </w:tcPr>
          <w:p w14:paraId="3247EFF9" w14:textId="7F648F3B" w:rsidR="002004DD" w:rsidRPr="006733A2" w:rsidRDefault="00903629" w:rsidP="004C6818">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61.10</w:t>
            </w:r>
          </w:p>
        </w:tc>
      </w:tr>
      <w:tr w:rsidR="002004DD" w:rsidRPr="006733A2" w14:paraId="4A19E720" w14:textId="77777777" w:rsidTr="004F3A9A">
        <w:trPr>
          <w:trHeight w:val="397"/>
        </w:trPr>
        <w:tc>
          <w:tcPr>
            <w:tcW w:w="2977" w:type="dxa"/>
            <w:vAlign w:val="bottom"/>
          </w:tcPr>
          <w:p w14:paraId="561C170A" w14:textId="7DBA0DAF"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36 (20-&lt;30min)</w:t>
            </w:r>
          </w:p>
        </w:tc>
        <w:tc>
          <w:tcPr>
            <w:tcW w:w="2552" w:type="dxa"/>
            <w:vAlign w:val="bottom"/>
          </w:tcPr>
          <w:p w14:paraId="0EACB36D" w14:textId="52FD2F82" w:rsidR="002004DD" w:rsidRPr="006733A2" w:rsidRDefault="002004DD"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2649C6" w:rsidRPr="006733A2">
              <w:rPr>
                <w:rFonts w:ascii="Verdana" w:hAnsi="Verdana" w:cs="TheSansB W6 SemiBold"/>
                <w:color w:val="174A7C"/>
                <w:spacing w:val="-5"/>
              </w:rPr>
              <w:t>1</w:t>
            </w:r>
            <w:r w:rsidR="004538E8">
              <w:rPr>
                <w:rFonts w:ascii="Verdana" w:hAnsi="Verdana" w:cs="TheSansB W6 SemiBold"/>
                <w:color w:val="174A7C"/>
                <w:spacing w:val="-5"/>
              </w:rPr>
              <w:t>70</w:t>
            </w:r>
            <w:r w:rsidRPr="006733A2">
              <w:rPr>
                <w:rFonts w:ascii="Verdana" w:hAnsi="Verdana" w:cs="TheSansB W6 SemiBold"/>
                <w:color w:val="174A7C"/>
                <w:spacing w:val="-5"/>
              </w:rPr>
              <w:t>.00</w:t>
            </w:r>
          </w:p>
        </w:tc>
        <w:tc>
          <w:tcPr>
            <w:tcW w:w="2693" w:type="dxa"/>
            <w:vAlign w:val="bottom"/>
          </w:tcPr>
          <w:p w14:paraId="126C1971" w14:textId="5E4BFFB4" w:rsidR="002004DD" w:rsidRPr="006733A2" w:rsidRDefault="002004DD"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84.90</w:t>
            </w:r>
          </w:p>
        </w:tc>
        <w:tc>
          <w:tcPr>
            <w:tcW w:w="2234" w:type="dxa"/>
            <w:vAlign w:val="bottom"/>
          </w:tcPr>
          <w:p w14:paraId="5818CA68" w14:textId="76AE0A46" w:rsidR="002004DD" w:rsidRPr="006733A2" w:rsidRDefault="002004DD" w:rsidP="00023EAD">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85.10</w:t>
            </w:r>
          </w:p>
        </w:tc>
      </w:tr>
      <w:tr w:rsidR="002004DD" w:rsidRPr="006733A2" w14:paraId="70EACB5A" w14:textId="77777777" w:rsidTr="004F3A9A">
        <w:trPr>
          <w:trHeight w:val="397"/>
        </w:trPr>
        <w:tc>
          <w:tcPr>
            <w:tcW w:w="2977" w:type="dxa"/>
            <w:vAlign w:val="bottom"/>
          </w:tcPr>
          <w:p w14:paraId="5EC48D51" w14:textId="272CFD19"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36* (30-&lt;40min)</w:t>
            </w:r>
          </w:p>
        </w:tc>
        <w:tc>
          <w:tcPr>
            <w:tcW w:w="2552" w:type="dxa"/>
            <w:vAlign w:val="bottom"/>
          </w:tcPr>
          <w:p w14:paraId="356E3C56" w14:textId="0508887B" w:rsidR="002004DD" w:rsidRPr="006733A2" w:rsidRDefault="002004DD"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4538E8">
              <w:rPr>
                <w:rFonts w:ascii="Verdana" w:hAnsi="Verdana" w:cs="TheSansB W6 SemiBold"/>
                <w:color w:val="174A7C"/>
                <w:spacing w:val="-5"/>
              </w:rPr>
              <w:t>220</w:t>
            </w:r>
            <w:r w:rsidRPr="006733A2">
              <w:rPr>
                <w:rFonts w:ascii="Verdana" w:hAnsi="Verdana" w:cs="TheSansB W6 SemiBold"/>
                <w:color w:val="174A7C"/>
                <w:spacing w:val="-5"/>
              </w:rPr>
              <w:t>.00</w:t>
            </w:r>
          </w:p>
        </w:tc>
        <w:tc>
          <w:tcPr>
            <w:tcW w:w="2693" w:type="dxa"/>
            <w:vAlign w:val="bottom"/>
          </w:tcPr>
          <w:p w14:paraId="610D75E6" w14:textId="084A267F" w:rsidR="002004DD" w:rsidRPr="006733A2" w:rsidRDefault="00EF6649" w:rsidP="00854381">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84.90</w:t>
            </w:r>
          </w:p>
        </w:tc>
        <w:tc>
          <w:tcPr>
            <w:tcW w:w="2234" w:type="dxa"/>
            <w:vAlign w:val="bottom"/>
          </w:tcPr>
          <w:p w14:paraId="5C70DD68" w14:textId="78EAE4A5" w:rsidR="002004DD" w:rsidRPr="006733A2" w:rsidRDefault="002004DD" w:rsidP="00415585">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135.10</w:t>
            </w:r>
          </w:p>
        </w:tc>
      </w:tr>
      <w:tr w:rsidR="002004DD" w:rsidRPr="006733A2" w14:paraId="437364B4" w14:textId="77777777" w:rsidTr="004F3A9A">
        <w:trPr>
          <w:trHeight w:val="397"/>
        </w:trPr>
        <w:tc>
          <w:tcPr>
            <w:tcW w:w="2977" w:type="dxa"/>
            <w:vAlign w:val="bottom"/>
          </w:tcPr>
          <w:p w14:paraId="7A881D19" w14:textId="10E1EF47"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44 (40-&lt;</w:t>
            </w:r>
            <w:r w:rsidR="003C5918" w:rsidRPr="006733A2">
              <w:rPr>
                <w:rFonts w:ascii="Verdana" w:hAnsi="Verdana" w:cs="TheSansB W6 SemiBold"/>
                <w:b/>
                <w:bCs/>
                <w:color w:val="E36F1E"/>
                <w:spacing w:val="-5"/>
              </w:rPr>
              <w:t>5</w:t>
            </w:r>
            <w:r w:rsidRPr="006733A2">
              <w:rPr>
                <w:rFonts w:ascii="Verdana" w:hAnsi="Verdana" w:cs="TheSansB W6 SemiBold"/>
                <w:b/>
                <w:bCs/>
                <w:color w:val="E36F1E"/>
                <w:spacing w:val="-5"/>
              </w:rPr>
              <w:t>0min)</w:t>
            </w:r>
          </w:p>
        </w:tc>
        <w:tc>
          <w:tcPr>
            <w:tcW w:w="2552" w:type="dxa"/>
            <w:vAlign w:val="bottom"/>
          </w:tcPr>
          <w:p w14:paraId="52D14D61" w14:textId="6C69CDA7" w:rsidR="002004DD" w:rsidRPr="006733A2" w:rsidRDefault="002004DD"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4538E8">
              <w:rPr>
                <w:rFonts w:ascii="Verdana" w:hAnsi="Verdana" w:cs="TheSansB W6 SemiBold"/>
                <w:color w:val="174A7C"/>
                <w:spacing w:val="-5"/>
              </w:rPr>
              <w:t>300.00</w:t>
            </w:r>
          </w:p>
        </w:tc>
        <w:tc>
          <w:tcPr>
            <w:tcW w:w="2693" w:type="dxa"/>
            <w:vAlign w:val="bottom"/>
          </w:tcPr>
          <w:p w14:paraId="42926179" w14:textId="3424ECC7" w:rsidR="002004DD" w:rsidRPr="006733A2" w:rsidRDefault="002004DD"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125.10</w:t>
            </w:r>
          </w:p>
        </w:tc>
        <w:tc>
          <w:tcPr>
            <w:tcW w:w="2234" w:type="dxa"/>
            <w:vAlign w:val="bottom"/>
          </w:tcPr>
          <w:p w14:paraId="04B233A1" w14:textId="01EC2B78" w:rsidR="002004DD" w:rsidRPr="006733A2" w:rsidRDefault="002004DD" w:rsidP="008230F1">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174.90</w:t>
            </w:r>
          </w:p>
        </w:tc>
      </w:tr>
      <w:tr w:rsidR="003C5918" w:rsidRPr="006733A2" w14:paraId="022CB2D3" w14:textId="77777777" w:rsidTr="004F3A9A">
        <w:trPr>
          <w:trHeight w:val="397"/>
        </w:trPr>
        <w:tc>
          <w:tcPr>
            <w:tcW w:w="2977" w:type="dxa"/>
            <w:vAlign w:val="bottom"/>
          </w:tcPr>
          <w:p w14:paraId="2BD530BF" w14:textId="2EFEF4BF" w:rsidR="003C5918" w:rsidRPr="006733A2" w:rsidRDefault="003C5918"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44* (50-&lt;60min)</w:t>
            </w:r>
          </w:p>
        </w:tc>
        <w:tc>
          <w:tcPr>
            <w:tcW w:w="2552" w:type="dxa"/>
            <w:vAlign w:val="bottom"/>
          </w:tcPr>
          <w:p w14:paraId="2CBBE0C3" w14:textId="47CDA090" w:rsidR="003C5918" w:rsidRPr="006733A2" w:rsidRDefault="003C5918"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2649C6" w:rsidRPr="006733A2">
              <w:rPr>
                <w:rFonts w:ascii="Verdana" w:hAnsi="Verdana" w:cs="TheSansB W6 SemiBold"/>
                <w:color w:val="174A7C"/>
                <w:spacing w:val="-5"/>
              </w:rPr>
              <w:t>3</w:t>
            </w:r>
            <w:r w:rsidR="004538E8">
              <w:rPr>
                <w:rFonts w:ascii="Verdana" w:hAnsi="Verdana" w:cs="TheSansB W6 SemiBold"/>
                <w:color w:val="174A7C"/>
                <w:spacing w:val="-5"/>
              </w:rPr>
              <w:t>8</w:t>
            </w:r>
            <w:r w:rsidR="002649C6" w:rsidRPr="006733A2">
              <w:rPr>
                <w:rFonts w:ascii="Verdana" w:hAnsi="Verdana" w:cs="TheSansB W6 SemiBold"/>
                <w:color w:val="174A7C"/>
                <w:spacing w:val="-5"/>
              </w:rPr>
              <w:t>0</w:t>
            </w:r>
            <w:r w:rsidRPr="006733A2">
              <w:rPr>
                <w:rFonts w:ascii="Verdana" w:hAnsi="Verdana" w:cs="TheSansB W6 SemiBold"/>
                <w:color w:val="174A7C"/>
                <w:spacing w:val="-5"/>
              </w:rPr>
              <w:t>.00</w:t>
            </w:r>
          </w:p>
        </w:tc>
        <w:tc>
          <w:tcPr>
            <w:tcW w:w="2693" w:type="dxa"/>
            <w:vAlign w:val="bottom"/>
          </w:tcPr>
          <w:p w14:paraId="3EAA565B" w14:textId="51BA6A53" w:rsidR="003C5918" w:rsidRPr="006733A2" w:rsidRDefault="003C5918"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125.10</w:t>
            </w:r>
          </w:p>
        </w:tc>
        <w:tc>
          <w:tcPr>
            <w:tcW w:w="2234" w:type="dxa"/>
            <w:vAlign w:val="bottom"/>
          </w:tcPr>
          <w:p w14:paraId="27BFBFC5" w14:textId="72ABC7B6" w:rsidR="003C5918" w:rsidRPr="006733A2" w:rsidRDefault="003C5918" w:rsidP="00F512E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62A2B">
              <w:rPr>
                <w:rFonts w:ascii="Verdana" w:hAnsi="Verdana" w:cs="TheSansB W6 SemiBold"/>
                <w:color w:val="174A7C"/>
                <w:spacing w:val="-5"/>
              </w:rPr>
              <w:t>254.90</w:t>
            </w:r>
          </w:p>
        </w:tc>
      </w:tr>
      <w:tr w:rsidR="002004DD" w:rsidRPr="006733A2" w14:paraId="54C48983" w14:textId="77777777" w:rsidTr="004F3A9A">
        <w:trPr>
          <w:trHeight w:val="397"/>
        </w:trPr>
        <w:tc>
          <w:tcPr>
            <w:tcW w:w="2977" w:type="dxa"/>
            <w:vAlign w:val="bottom"/>
          </w:tcPr>
          <w:p w14:paraId="3CEB3697" w14:textId="73003E6A" w:rsidR="002004DD" w:rsidRPr="006733A2" w:rsidRDefault="002004DD"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123 (60min+)</w:t>
            </w:r>
          </w:p>
        </w:tc>
        <w:tc>
          <w:tcPr>
            <w:tcW w:w="2552" w:type="dxa"/>
            <w:vAlign w:val="bottom"/>
          </w:tcPr>
          <w:p w14:paraId="269A1998" w14:textId="08FFE11A" w:rsidR="002004DD" w:rsidRPr="006733A2" w:rsidRDefault="002004DD" w:rsidP="002649C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2649C6" w:rsidRPr="006733A2">
              <w:rPr>
                <w:rFonts w:ascii="Verdana" w:hAnsi="Verdana" w:cs="TheSansB W6 SemiBold"/>
                <w:color w:val="174A7C"/>
                <w:spacing w:val="-5"/>
              </w:rPr>
              <w:t>4</w:t>
            </w:r>
            <w:r w:rsidR="00170A97">
              <w:rPr>
                <w:rFonts w:ascii="Verdana" w:hAnsi="Verdana" w:cs="TheSansB W6 SemiBold"/>
                <w:color w:val="174A7C"/>
                <w:spacing w:val="-5"/>
              </w:rPr>
              <w:t>50</w:t>
            </w:r>
            <w:r w:rsidRPr="006733A2">
              <w:rPr>
                <w:rFonts w:ascii="Verdana" w:hAnsi="Verdana" w:cs="TheSansB W6 SemiBold"/>
                <w:color w:val="174A7C"/>
                <w:spacing w:val="-5"/>
              </w:rPr>
              <w:t>.00</w:t>
            </w:r>
          </w:p>
        </w:tc>
        <w:tc>
          <w:tcPr>
            <w:tcW w:w="2693" w:type="dxa"/>
            <w:vAlign w:val="bottom"/>
          </w:tcPr>
          <w:p w14:paraId="00D4B4CA" w14:textId="6F2C9664" w:rsidR="002004DD" w:rsidRPr="006733A2" w:rsidRDefault="00EF6649" w:rsidP="00EF6649">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2C1F44">
              <w:rPr>
                <w:rFonts w:ascii="Verdana" w:hAnsi="Verdana" w:cs="TheSansB W6 SemiBold"/>
                <w:color w:val="174A7C"/>
                <w:spacing w:val="-5"/>
              </w:rPr>
              <w:t>202.65</w:t>
            </w:r>
          </w:p>
        </w:tc>
        <w:tc>
          <w:tcPr>
            <w:tcW w:w="2234" w:type="dxa"/>
            <w:vAlign w:val="bottom"/>
          </w:tcPr>
          <w:p w14:paraId="7B285151" w14:textId="2514C28A" w:rsidR="002004DD" w:rsidRPr="006733A2" w:rsidRDefault="002004DD" w:rsidP="001738A3">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DF5E28">
              <w:rPr>
                <w:rFonts w:ascii="Verdana" w:hAnsi="Verdana" w:cs="TheSansB W6 SemiBold"/>
                <w:color w:val="174A7C"/>
                <w:spacing w:val="-5"/>
              </w:rPr>
              <w:t>247.35</w:t>
            </w:r>
          </w:p>
        </w:tc>
      </w:tr>
      <w:tr w:rsidR="002004DD" w:rsidRPr="006733A2" w14:paraId="7EC8D0C4" w14:textId="77777777" w:rsidTr="004F3A9A">
        <w:trPr>
          <w:trHeight w:val="397"/>
        </w:trPr>
        <w:tc>
          <w:tcPr>
            <w:tcW w:w="2977" w:type="dxa"/>
            <w:vAlign w:val="bottom"/>
          </w:tcPr>
          <w:p w14:paraId="12DC39FD" w14:textId="77777777" w:rsidR="002004DD" w:rsidRPr="006733A2" w:rsidRDefault="002004DD" w:rsidP="00854381">
            <w:pPr>
              <w:pStyle w:val="BasicParagraph"/>
              <w:jc w:val="right"/>
              <w:rPr>
                <w:rFonts w:ascii="Verdana" w:hAnsi="Verdana" w:cs="TheSansB W6 SemiBold"/>
                <w:b/>
                <w:bCs/>
                <w:color w:val="E36F1E"/>
                <w:spacing w:val="-5"/>
              </w:rPr>
            </w:pPr>
          </w:p>
        </w:tc>
        <w:tc>
          <w:tcPr>
            <w:tcW w:w="2552" w:type="dxa"/>
            <w:vAlign w:val="bottom"/>
          </w:tcPr>
          <w:p w14:paraId="25A958C2" w14:textId="77777777" w:rsidR="002004DD" w:rsidRPr="006733A2" w:rsidRDefault="002004DD" w:rsidP="00854381">
            <w:pPr>
              <w:pStyle w:val="BasicParagraph"/>
              <w:jc w:val="center"/>
              <w:rPr>
                <w:rFonts w:ascii="Verdana" w:hAnsi="Verdana" w:cs="TheSansB W6 SemiBold"/>
                <w:color w:val="174A7C"/>
                <w:spacing w:val="-5"/>
              </w:rPr>
            </w:pPr>
          </w:p>
        </w:tc>
        <w:tc>
          <w:tcPr>
            <w:tcW w:w="2693" w:type="dxa"/>
            <w:vAlign w:val="bottom"/>
          </w:tcPr>
          <w:p w14:paraId="6CBEC6A4" w14:textId="77777777" w:rsidR="002004DD" w:rsidRPr="006733A2" w:rsidRDefault="002004DD" w:rsidP="00854381">
            <w:pPr>
              <w:pStyle w:val="BasicParagraph"/>
              <w:jc w:val="center"/>
              <w:rPr>
                <w:rFonts w:ascii="Verdana" w:hAnsi="Verdana" w:cs="TheSansB W6 SemiBold"/>
                <w:color w:val="174A7C"/>
                <w:spacing w:val="-5"/>
              </w:rPr>
            </w:pPr>
          </w:p>
        </w:tc>
        <w:tc>
          <w:tcPr>
            <w:tcW w:w="2234" w:type="dxa"/>
            <w:vAlign w:val="bottom"/>
          </w:tcPr>
          <w:p w14:paraId="6DD77C4F" w14:textId="77777777" w:rsidR="002004DD" w:rsidRPr="006733A2" w:rsidRDefault="002004DD" w:rsidP="00854381">
            <w:pPr>
              <w:pStyle w:val="BasicParagraph"/>
              <w:jc w:val="center"/>
              <w:rPr>
                <w:rFonts w:ascii="Verdana" w:hAnsi="Verdana" w:cs="TheSansB W6 SemiBold"/>
                <w:color w:val="174A7C"/>
                <w:spacing w:val="-5"/>
              </w:rPr>
            </w:pPr>
          </w:p>
        </w:tc>
      </w:tr>
      <w:tr w:rsidR="00854381" w:rsidRPr="006733A2" w14:paraId="59902B99" w14:textId="77777777" w:rsidTr="004F3A9A">
        <w:trPr>
          <w:trHeight w:val="397"/>
        </w:trPr>
        <w:tc>
          <w:tcPr>
            <w:tcW w:w="10456" w:type="dxa"/>
            <w:gridSpan w:val="4"/>
          </w:tcPr>
          <w:p w14:paraId="5E9A1E7B" w14:textId="560DF4EE" w:rsidR="00854381" w:rsidRPr="006733A2" w:rsidRDefault="00854381" w:rsidP="00854381">
            <w:pPr>
              <w:pStyle w:val="BasicParagraph"/>
              <w:rPr>
                <w:rFonts w:ascii="Verdana" w:hAnsi="Verdana" w:cs="TheSansB W6 SemiBold"/>
                <w:color w:val="174A7C"/>
                <w:spacing w:val="-5"/>
              </w:rPr>
            </w:pPr>
            <w:r w:rsidRPr="006733A2">
              <w:rPr>
                <w:rFonts w:ascii="Verdana" w:hAnsi="Verdana" w:cs="TheSansB W6 SemiBold"/>
                <w:b/>
                <w:bCs/>
                <w:color w:val="174A7C"/>
                <w:spacing w:val="-3"/>
              </w:rPr>
              <w:t>Mental Health Care Plans</w:t>
            </w:r>
          </w:p>
        </w:tc>
      </w:tr>
      <w:tr w:rsidR="00830D84" w:rsidRPr="006733A2" w14:paraId="0CCE5A30" w14:textId="77777777" w:rsidTr="004F3A9A">
        <w:trPr>
          <w:trHeight w:val="397"/>
        </w:trPr>
        <w:tc>
          <w:tcPr>
            <w:tcW w:w="2977" w:type="dxa"/>
            <w:vAlign w:val="bottom"/>
          </w:tcPr>
          <w:p w14:paraId="33FB0AEE" w14:textId="63668A53" w:rsidR="00830D84" w:rsidRPr="006733A2" w:rsidRDefault="00830D84"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2712</w:t>
            </w:r>
          </w:p>
        </w:tc>
        <w:tc>
          <w:tcPr>
            <w:tcW w:w="2552" w:type="dxa"/>
            <w:vAlign w:val="bottom"/>
          </w:tcPr>
          <w:p w14:paraId="40DF2301" w14:textId="561C8F25" w:rsidR="00830D84" w:rsidRPr="006733A2" w:rsidRDefault="00830D84" w:rsidP="00310557">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70A97">
              <w:rPr>
                <w:rFonts w:ascii="Verdana" w:hAnsi="Verdana" w:cs="TheSansB W6 SemiBold"/>
                <w:color w:val="174A7C"/>
                <w:spacing w:val="-5"/>
              </w:rPr>
              <w:t>105</w:t>
            </w:r>
            <w:r w:rsidRPr="006733A2">
              <w:rPr>
                <w:rFonts w:ascii="Verdana" w:hAnsi="Verdana" w:cs="TheSansB W6 SemiBold"/>
                <w:color w:val="174A7C"/>
                <w:spacing w:val="-5"/>
              </w:rPr>
              <w:t>.00</w:t>
            </w:r>
          </w:p>
        </w:tc>
        <w:tc>
          <w:tcPr>
            <w:tcW w:w="2693" w:type="dxa"/>
            <w:vAlign w:val="bottom"/>
          </w:tcPr>
          <w:p w14:paraId="4B4EAF56" w14:textId="2D2F55BC" w:rsidR="00830D84" w:rsidRPr="006733A2" w:rsidRDefault="00830D84" w:rsidP="00493958">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F56979">
              <w:rPr>
                <w:rFonts w:ascii="Verdana" w:hAnsi="Verdana" w:cs="TheSansB W6 SemiBold"/>
                <w:color w:val="174A7C"/>
                <w:spacing w:val="-5"/>
              </w:rPr>
              <w:t>83.65</w:t>
            </w:r>
          </w:p>
        </w:tc>
        <w:tc>
          <w:tcPr>
            <w:tcW w:w="2234" w:type="dxa"/>
            <w:vAlign w:val="bottom"/>
          </w:tcPr>
          <w:p w14:paraId="24A94525" w14:textId="169C72CD" w:rsidR="00830D84" w:rsidRPr="006733A2" w:rsidRDefault="004F219B" w:rsidP="000B556A">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434158">
              <w:rPr>
                <w:rFonts w:ascii="Verdana" w:hAnsi="Verdana" w:cs="TheSansB W6 SemiBold"/>
                <w:color w:val="174A7C"/>
                <w:spacing w:val="-5"/>
              </w:rPr>
              <w:t>21.35</w:t>
            </w:r>
          </w:p>
        </w:tc>
      </w:tr>
      <w:tr w:rsidR="00854381" w:rsidRPr="006733A2" w14:paraId="48EA7590" w14:textId="77777777" w:rsidTr="004F3A9A">
        <w:trPr>
          <w:trHeight w:val="397"/>
        </w:trPr>
        <w:tc>
          <w:tcPr>
            <w:tcW w:w="2977" w:type="dxa"/>
            <w:vAlign w:val="bottom"/>
          </w:tcPr>
          <w:p w14:paraId="47813DB5" w14:textId="699AAE0B" w:rsidR="00854381" w:rsidRPr="006733A2" w:rsidRDefault="00854381"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2715 (20-&lt;30min)</w:t>
            </w:r>
          </w:p>
        </w:tc>
        <w:tc>
          <w:tcPr>
            <w:tcW w:w="2552" w:type="dxa"/>
            <w:vAlign w:val="bottom"/>
          </w:tcPr>
          <w:p w14:paraId="44292D4F" w14:textId="43189610" w:rsidR="00854381" w:rsidRPr="006733A2" w:rsidRDefault="00854381" w:rsidP="00310557">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70A97">
              <w:rPr>
                <w:rFonts w:ascii="Verdana" w:hAnsi="Verdana" w:cs="TheSansB W6 SemiBold"/>
                <w:color w:val="174A7C"/>
                <w:spacing w:val="-5"/>
              </w:rPr>
              <w:t>170.00</w:t>
            </w:r>
          </w:p>
        </w:tc>
        <w:tc>
          <w:tcPr>
            <w:tcW w:w="2693" w:type="dxa"/>
            <w:vAlign w:val="bottom"/>
          </w:tcPr>
          <w:p w14:paraId="7ABC0065" w14:textId="1D55745D" w:rsidR="00854381" w:rsidRPr="006733A2" w:rsidRDefault="00854381" w:rsidP="00493958">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2E0170">
              <w:rPr>
                <w:rFonts w:ascii="Verdana" w:hAnsi="Verdana" w:cs="TheSansB W6 SemiBold"/>
                <w:color w:val="174A7C"/>
                <w:spacing w:val="-5"/>
              </w:rPr>
              <w:t>106.20</w:t>
            </w:r>
          </w:p>
        </w:tc>
        <w:tc>
          <w:tcPr>
            <w:tcW w:w="2234" w:type="dxa"/>
            <w:vAlign w:val="bottom"/>
          </w:tcPr>
          <w:p w14:paraId="19681496" w14:textId="6D6696DD" w:rsidR="00854381" w:rsidRPr="006733A2" w:rsidRDefault="00854381" w:rsidP="00F86605">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C34027">
              <w:rPr>
                <w:rFonts w:ascii="Verdana" w:hAnsi="Verdana" w:cs="TheSansB W6 SemiBold"/>
                <w:color w:val="174A7C"/>
                <w:spacing w:val="-5"/>
              </w:rPr>
              <w:t>63.80</w:t>
            </w:r>
          </w:p>
        </w:tc>
      </w:tr>
      <w:tr w:rsidR="00854381" w:rsidRPr="006733A2" w14:paraId="4D2191AA" w14:textId="77777777" w:rsidTr="004F3A9A">
        <w:trPr>
          <w:trHeight w:val="397"/>
        </w:trPr>
        <w:tc>
          <w:tcPr>
            <w:tcW w:w="2977" w:type="dxa"/>
            <w:vAlign w:val="bottom"/>
          </w:tcPr>
          <w:p w14:paraId="0BD6231C" w14:textId="6E13DE12" w:rsidR="00854381" w:rsidRPr="006733A2" w:rsidRDefault="00854381"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2715 (30-&lt;40min)</w:t>
            </w:r>
          </w:p>
        </w:tc>
        <w:tc>
          <w:tcPr>
            <w:tcW w:w="2552" w:type="dxa"/>
            <w:vAlign w:val="bottom"/>
          </w:tcPr>
          <w:p w14:paraId="310DB0E1" w14:textId="473090C8" w:rsidR="00854381" w:rsidRPr="006733A2" w:rsidRDefault="00854381" w:rsidP="00310557">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70A97">
              <w:rPr>
                <w:rFonts w:ascii="Verdana" w:hAnsi="Verdana" w:cs="TheSansB W6 SemiBold"/>
                <w:color w:val="174A7C"/>
                <w:spacing w:val="-5"/>
              </w:rPr>
              <w:t>220.00</w:t>
            </w:r>
          </w:p>
        </w:tc>
        <w:tc>
          <w:tcPr>
            <w:tcW w:w="2693" w:type="dxa"/>
            <w:vAlign w:val="bottom"/>
          </w:tcPr>
          <w:p w14:paraId="75477B0E" w14:textId="504ED898" w:rsidR="00854381" w:rsidRPr="006733A2" w:rsidRDefault="00854381" w:rsidP="00493958">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EB6716">
              <w:rPr>
                <w:rFonts w:ascii="Verdana" w:hAnsi="Verdana" w:cs="TheSansB W6 SemiBold"/>
                <w:color w:val="174A7C"/>
                <w:spacing w:val="-5"/>
              </w:rPr>
              <w:t>106.20</w:t>
            </w:r>
          </w:p>
        </w:tc>
        <w:tc>
          <w:tcPr>
            <w:tcW w:w="2234" w:type="dxa"/>
            <w:vAlign w:val="bottom"/>
          </w:tcPr>
          <w:p w14:paraId="5248C7B0" w14:textId="7AF69FB7" w:rsidR="00854381" w:rsidRPr="006733A2" w:rsidRDefault="00854381" w:rsidP="007D11D5">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AC1EAB">
              <w:rPr>
                <w:rFonts w:ascii="Verdana" w:hAnsi="Verdana" w:cs="TheSansB W6 SemiBold"/>
                <w:color w:val="174A7C"/>
                <w:spacing w:val="-5"/>
              </w:rPr>
              <w:t>113.80</w:t>
            </w:r>
          </w:p>
        </w:tc>
      </w:tr>
      <w:tr w:rsidR="00854381" w:rsidRPr="006733A2" w14:paraId="6350E1DD" w14:textId="77777777" w:rsidTr="004F3A9A">
        <w:trPr>
          <w:trHeight w:val="397"/>
        </w:trPr>
        <w:tc>
          <w:tcPr>
            <w:tcW w:w="2977" w:type="dxa"/>
            <w:vAlign w:val="bottom"/>
          </w:tcPr>
          <w:p w14:paraId="4DDCF925" w14:textId="0B3B3EF8" w:rsidR="00854381" w:rsidRPr="006733A2" w:rsidRDefault="00FC3BFB"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2717</w:t>
            </w:r>
            <w:r w:rsidR="00854381" w:rsidRPr="006733A2">
              <w:rPr>
                <w:rFonts w:ascii="Verdana" w:hAnsi="Verdana" w:cs="TheSansB W6 SemiBold"/>
                <w:b/>
                <w:bCs/>
                <w:color w:val="E36F1E"/>
                <w:spacing w:val="-5"/>
              </w:rPr>
              <w:t xml:space="preserve"> (</w:t>
            </w:r>
            <w:r w:rsidRPr="006733A2">
              <w:rPr>
                <w:rFonts w:ascii="Verdana" w:hAnsi="Verdana" w:cs="TheSansB W6 SemiBold"/>
                <w:b/>
                <w:bCs/>
                <w:color w:val="E36F1E"/>
                <w:spacing w:val="-5"/>
              </w:rPr>
              <w:t>40 –</w:t>
            </w:r>
            <w:r w:rsidR="006E1744" w:rsidRPr="006733A2">
              <w:rPr>
                <w:rFonts w:ascii="Verdana" w:hAnsi="Verdana" w:cs="TheSansB W6 SemiBold"/>
                <w:b/>
                <w:bCs/>
                <w:color w:val="E36F1E"/>
                <w:spacing w:val="-5"/>
              </w:rPr>
              <w:t>&lt;</w:t>
            </w:r>
            <w:r w:rsidR="00530E26" w:rsidRPr="006733A2">
              <w:rPr>
                <w:rFonts w:ascii="Verdana" w:hAnsi="Verdana" w:cs="TheSansB W6 SemiBold"/>
                <w:b/>
                <w:bCs/>
                <w:color w:val="E36F1E"/>
                <w:spacing w:val="-5"/>
              </w:rPr>
              <w:t>5</w:t>
            </w:r>
            <w:r w:rsidRPr="006733A2">
              <w:rPr>
                <w:rFonts w:ascii="Verdana" w:hAnsi="Verdana" w:cs="TheSansB W6 SemiBold"/>
                <w:b/>
                <w:bCs/>
                <w:color w:val="E36F1E"/>
                <w:spacing w:val="-5"/>
              </w:rPr>
              <w:t>0min</w:t>
            </w:r>
            <w:r w:rsidR="00854381" w:rsidRPr="006733A2">
              <w:rPr>
                <w:rFonts w:ascii="Verdana" w:hAnsi="Verdana" w:cs="TheSansB W6 SemiBold"/>
                <w:b/>
                <w:bCs/>
                <w:color w:val="E36F1E"/>
                <w:spacing w:val="-5"/>
              </w:rPr>
              <w:t xml:space="preserve"> )</w:t>
            </w:r>
          </w:p>
        </w:tc>
        <w:tc>
          <w:tcPr>
            <w:tcW w:w="2552" w:type="dxa"/>
            <w:vAlign w:val="bottom"/>
          </w:tcPr>
          <w:p w14:paraId="314EE140" w14:textId="1F40F557" w:rsidR="00854381" w:rsidRPr="006733A2" w:rsidRDefault="00854381" w:rsidP="00FC3BFB">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70A97">
              <w:rPr>
                <w:rFonts w:ascii="Verdana" w:hAnsi="Verdana" w:cs="TheSansB W6 SemiBold"/>
                <w:color w:val="174A7C"/>
                <w:spacing w:val="-5"/>
              </w:rPr>
              <w:t>300.00</w:t>
            </w:r>
          </w:p>
        </w:tc>
        <w:tc>
          <w:tcPr>
            <w:tcW w:w="2693" w:type="dxa"/>
            <w:vAlign w:val="bottom"/>
          </w:tcPr>
          <w:p w14:paraId="3A2421CD" w14:textId="543C4FB8" w:rsidR="00854381" w:rsidRPr="006733A2" w:rsidRDefault="00854381" w:rsidP="00580E12">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BE6FBA">
              <w:rPr>
                <w:rFonts w:ascii="Verdana" w:hAnsi="Verdana" w:cs="TheSansB W6 SemiBold"/>
                <w:color w:val="174A7C"/>
                <w:spacing w:val="-5"/>
              </w:rPr>
              <w:t>156.45</w:t>
            </w:r>
          </w:p>
        </w:tc>
        <w:tc>
          <w:tcPr>
            <w:tcW w:w="2234" w:type="dxa"/>
            <w:vAlign w:val="bottom"/>
          </w:tcPr>
          <w:p w14:paraId="17318F3D" w14:textId="6FD4918A" w:rsidR="00854381" w:rsidRPr="006733A2" w:rsidRDefault="00854381" w:rsidP="00314361">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963C89">
              <w:rPr>
                <w:rFonts w:ascii="Verdana" w:hAnsi="Verdana" w:cs="TheSansB W6 SemiBold"/>
                <w:color w:val="174A7C"/>
                <w:spacing w:val="-5"/>
              </w:rPr>
              <w:t>143.55</w:t>
            </w:r>
          </w:p>
        </w:tc>
      </w:tr>
      <w:tr w:rsidR="00530E26" w:rsidRPr="006733A2" w14:paraId="66C595EF" w14:textId="77777777" w:rsidTr="004F3A9A">
        <w:trPr>
          <w:trHeight w:val="397"/>
        </w:trPr>
        <w:tc>
          <w:tcPr>
            <w:tcW w:w="2977" w:type="dxa"/>
            <w:vAlign w:val="bottom"/>
          </w:tcPr>
          <w:p w14:paraId="7BA697E8" w14:textId="7AEB6F41" w:rsidR="00530E26" w:rsidRPr="006733A2" w:rsidRDefault="00530E26"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2717 (50 –&lt;60min )</w:t>
            </w:r>
          </w:p>
        </w:tc>
        <w:tc>
          <w:tcPr>
            <w:tcW w:w="2552" w:type="dxa"/>
            <w:vAlign w:val="bottom"/>
          </w:tcPr>
          <w:p w14:paraId="411E9AB0" w14:textId="4DA185E0" w:rsidR="00530E26" w:rsidRPr="006733A2" w:rsidRDefault="00310557" w:rsidP="00530E26">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70A97">
              <w:rPr>
                <w:rFonts w:ascii="Verdana" w:hAnsi="Verdana" w:cs="TheSansB W6 SemiBold"/>
                <w:color w:val="174A7C"/>
                <w:spacing w:val="-5"/>
              </w:rPr>
              <w:t>380.00</w:t>
            </w:r>
          </w:p>
        </w:tc>
        <w:tc>
          <w:tcPr>
            <w:tcW w:w="2693" w:type="dxa"/>
            <w:vAlign w:val="bottom"/>
          </w:tcPr>
          <w:p w14:paraId="4E213212" w14:textId="489DD6FD" w:rsidR="00530E26" w:rsidRPr="006733A2" w:rsidRDefault="00580E12" w:rsidP="00FC3BFB">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32F59">
              <w:rPr>
                <w:rFonts w:ascii="Verdana" w:hAnsi="Verdana" w:cs="TheSansB W6 SemiBold"/>
                <w:color w:val="174A7C"/>
                <w:spacing w:val="-5"/>
              </w:rPr>
              <w:t>156.45</w:t>
            </w:r>
          </w:p>
        </w:tc>
        <w:tc>
          <w:tcPr>
            <w:tcW w:w="2234" w:type="dxa"/>
            <w:vAlign w:val="bottom"/>
          </w:tcPr>
          <w:p w14:paraId="6A8AB819" w14:textId="380B2AC7" w:rsidR="00530E26" w:rsidRPr="006733A2" w:rsidRDefault="00530E26" w:rsidP="00FD256E">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546E66">
              <w:rPr>
                <w:rFonts w:ascii="Verdana" w:hAnsi="Verdana" w:cs="TheSansB W6 SemiBold"/>
                <w:color w:val="174A7C"/>
                <w:spacing w:val="-5"/>
              </w:rPr>
              <w:t>223.55</w:t>
            </w:r>
          </w:p>
        </w:tc>
      </w:tr>
      <w:tr w:rsidR="00FC3BFB" w:rsidRPr="006733A2" w14:paraId="157D74DD" w14:textId="77777777" w:rsidTr="004F3A9A">
        <w:trPr>
          <w:trHeight w:val="397"/>
        </w:trPr>
        <w:tc>
          <w:tcPr>
            <w:tcW w:w="2977" w:type="dxa"/>
            <w:vAlign w:val="bottom"/>
          </w:tcPr>
          <w:p w14:paraId="67D9A677" w14:textId="35181589" w:rsidR="00FC3BFB" w:rsidRPr="006733A2" w:rsidRDefault="00FC3BFB" w:rsidP="006733A2">
            <w:pPr>
              <w:pStyle w:val="BasicParagraph"/>
              <w:jc w:val="right"/>
              <w:rPr>
                <w:rFonts w:ascii="Verdana" w:hAnsi="Verdana" w:cs="TheSansB W6 SemiBold"/>
                <w:b/>
                <w:bCs/>
                <w:color w:val="E36F1E"/>
                <w:spacing w:val="-5"/>
              </w:rPr>
            </w:pPr>
            <w:r w:rsidRPr="006733A2">
              <w:rPr>
                <w:rFonts w:ascii="Verdana" w:hAnsi="Verdana" w:cs="TheSansB W6 SemiBold"/>
                <w:b/>
                <w:bCs/>
                <w:color w:val="E36F1E"/>
                <w:spacing w:val="-5"/>
              </w:rPr>
              <w:t>2717 (60+ min)</w:t>
            </w:r>
          </w:p>
        </w:tc>
        <w:tc>
          <w:tcPr>
            <w:tcW w:w="2552" w:type="dxa"/>
            <w:vAlign w:val="bottom"/>
          </w:tcPr>
          <w:p w14:paraId="23D3FFFE" w14:textId="263BBA92" w:rsidR="00FC3BFB" w:rsidRPr="006733A2" w:rsidRDefault="00310557" w:rsidP="00FC3BFB">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$4</w:t>
            </w:r>
            <w:r w:rsidR="00170A97">
              <w:rPr>
                <w:rFonts w:ascii="Verdana" w:hAnsi="Verdana" w:cs="TheSansB W6 SemiBold"/>
                <w:color w:val="174A7C"/>
                <w:spacing w:val="-5"/>
              </w:rPr>
              <w:t>5</w:t>
            </w:r>
            <w:r w:rsidR="00FC3BFB" w:rsidRPr="006733A2">
              <w:rPr>
                <w:rFonts w:ascii="Verdana" w:hAnsi="Verdana" w:cs="TheSansB W6 SemiBold"/>
                <w:color w:val="174A7C"/>
                <w:spacing w:val="-5"/>
              </w:rPr>
              <w:t>0.00</w:t>
            </w:r>
          </w:p>
        </w:tc>
        <w:tc>
          <w:tcPr>
            <w:tcW w:w="2693" w:type="dxa"/>
            <w:vAlign w:val="bottom"/>
          </w:tcPr>
          <w:p w14:paraId="1710882C" w14:textId="29D058CE" w:rsidR="00FC3BFB" w:rsidRPr="006733A2" w:rsidRDefault="00580E12" w:rsidP="00580E12">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132F59">
              <w:rPr>
                <w:rFonts w:ascii="Verdana" w:hAnsi="Verdana" w:cs="TheSansB W6 SemiBold"/>
                <w:color w:val="174A7C"/>
                <w:spacing w:val="-5"/>
              </w:rPr>
              <w:t>156.45</w:t>
            </w:r>
          </w:p>
        </w:tc>
        <w:tc>
          <w:tcPr>
            <w:tcW w:w="2234" w:type="dxa"/>
            <w:vAlign w:val="bottom"/>
          </w:tcPr>
          <w:p w14:paraId="7044ABBD" w14:textId="24DC52BA" w:rsidR="00FC3BFB" w:rsidRPr="006733A2" w:rsidRDefault="00FC3BFB" w:rsidP="00B864E5">
            <w:pPr>
              <w:pStyle w:val="BasicParagraph"/>
              <w:jc w:val="center"/>
              <w:rPr>
                <w:rFonts w:ascii="Verdana" w:hAnsi="Verdana" w:cs="TheSansB W6 SemiBold"/>
                <w:color w:val="174A7C"/>
                <w:spacing w:val="-5"/>
              </w:rPr>
            </w:pPr>
            <w:r w:rsidRPr="006733A2">
              <w:rPr>
                <w:rFonts w:ascii="Verdana" w:hAnsi="Verdana" w:cs="TheSansB W6 SemiBold"/>
                <w:color w:val="174A7C"/>
                <w:spacing w:val="-5"/>
              </w:rPr>
              <w:t>$</w:t>
            </w:r>
            <w:r w:rsidR="00D84DBC">
              <w:rPr>
                <w:rFonts w:ascii="Verdana" w:hAnsi="Verdana" w:cs="TheSansB W6 SemiBold"/>
                <w:color w:val="174A7C"/>
                <w:spacing w:val="-5"/>
              </w:rPr>
              <w:t>293.55</w:t>
            </w:r>
            <w:bookmarkStart w:id="0" w:name="_GoBack"/>
            <w:bookmarkEnd w:id="0"/>
          </w:p>
        </w:tc>
      </w:tr>
    </w:tbl>
    <w:p w14:paraId="15908959" w14:textId="15425B6B" w:rsidR="0069726B" w:rsidRPr="006733A2" w:rsidRDefault="0069726B" w:rsidP="004A486B">
      <w:pPr>
        <w:rPr>
          <w:rFonts w:ascii="Verdana" w:hAnsi="Verdana"/>
          <w:color w:val="174A7C"/>
          <w:sz w:val="22"/>
          <w:szCs w:val="22"/>
        </w:rPr>
      </w:pPr>
    </w:p>
    <w:p w14:paraId="5E23CED1" w14:textId="77777777" w:rsidR="0069726B" w:rsidRPr="006733A2" w:rsidRDefault="0069726B" w:rsidP="0069726B">
      <w:pPr>
        <w:rPr>
          <w:rFonts w:ascii="Verdana" w:hAnsi="Verdana"/>
          <w:sz w:val="22"/>
          <w:szCs w:val="22"/>
        </w:rPr>
      </w:pPr>
    </w:p>
    <w:p w14:paraId="2DB9CE0C" w14:textId="1EC203A4" w:rsidR="0069726B" w:rsidRPr="006733A2" w:rsidRDefault="0069726B" w:rsidP="0069726B">
      <w:pPr>
        <w:rPr>
          <w:rFonts w:ascii="Verdana" w:hAnsi="Verdana"/>
          <w:sz w:val="22"/>
          <w:szCs w:val="22"/>
        </w:rPr>
      </w:pPr>
    </w:p>
    <w:p w14:paraId="2BAB4A4B" w14:textId="77777777" w:rsidR="0069726B" w:rsidRPr="006733A2" w:rsidRDefault="0069726B" w:rsidP="006733A2">
      <w:pPr>
        <w:ind w:left="142"/>
        <w:jc w:val="both"/>
        <w:rPr>
          <w:rFonts w:ascii="Verdana" w:hAnsi="Verdana"/>
          <w:b/>
          <w:color w:val="002060"/>
          <w:szCs w:val="22"/>
        </w:rPr>
      </w:pPr>
      <w:r w:rsidRPr="006733A2">
        <w:rPr>
          <w:rFonts w:ascii="Verdana" w:hAnsi="Verdana"/>
          <w:b/>
          <w:color w:val="002060"/>
          <w:szCs w:val="22"/>
        </w:rPr>
        <w:t>Cancellations</w:t>
      </w:r>
    </w:p>
    <w:p w14:paraId="654DFA95" w14:textId="77777777" w:rsidR="0069726B" w:rsidRPr="006733A2" w:rsidRDefault="0069726B" w:rsidP="006733A2">
      <w:pPr>
        <w:jc w:val="both"/>
        <w:rPr>
          <w:rFonts w:ascii="Verdana" w:hAnsi="Verdana"/>
          <w:color w:val="002060"/>
          <w:szCs w:val="22"/>
        </w:rPr>
      </w:pPr>
    </w:p>
    <w:p w14:paraId="14126AA5" w14:textId="0FF95B00" w:rsidR="00854381" w:rsidRPr="006733A2" w:rsidRDefault="0069726B" w:rsidP="006733A2">
      <w:pPr>
        <w:ind w:left="142"/>
        <w:jc w:val="both"/>
        <w:rPr>
          <w:rFonts w:ascii="Verdana" w:hAnsi="Verdana"/>
          <w:color w:val="002060"/>
          <w:szCs w:val="22"/>
        </w:rPr>
      </w:pPr>
      <w:r w:rsidRPr="006733A2">
        <w:rPr>
          <w:rFonts w:ascii="Verdana" w:hAnsi="Verdana"/>
          <w:color w:val="002060"/>
          <w:szCs w:val="22"/>
        </w:rPr>
        <w:t xml:space="preserve">We understand that circumstances sometimes change and are accommodating to this. However, failure to attend scheduled appointments results in our Doctors’ time being underutilised and reduces the opportunity for other patients to be seen. A fee </w:t>
      </w:r>
      <w:r w:rsidR="00D30E33" w:rsidRPr="006733A2">
        <w:rPr>
          <w:rFonts w:ascii="Verdana" w:hAnsi="Verdana"/>
          <w:color w:val="002060"/>
          <w:szCs w:val="22"/>
        </w:rPr>
        <w:t xml:space="preserve">equivalent to a standard consult (level 23) </w:t>
      </w:r>
      <w:r w:rsidRPr="006733A2">
        <w:rPr>
          <w:rFonts w:ascii="Verdana" w:hAnsi="Verdana"/>
          <w:color w:val="002060"/>
          <w:szCs w:val="22"/>
        </w:rPr>
        <w:t xml:space="preserve">may be charged for repeated cancellations at short notice </w:t>
      </w:r>
      <w:r w:rsidR="004F3A9A" w:rsidRPr="006733A2">
        <w:rPr>
          <w:rFonts w:ascii="Verdana" w:hAnsi="Verdana"/>
          <w:color w:val="002060"/>
          <w:szCs w:val="22"/>
        </w:rPr>
        <w:t>(</w:t>
      </w:r>
      <w:r w:rsidR="007278B9" w:rsidRPr="006733A2">
        <w:rPr>
          <w:rFonts w:ascii="Verdana" w:hAnsi="Verdana"/>
          <w:color w:val="002060"/>
          <w:szCs w:val="22"/>
        </w:rPr>
        <w:t>within 24 hours</w:t>
      </w:r>
      <w:r w:rsidR="004F3A9A" w:rsidRPr="006733A2">
        <w:rPr>
          <w:rFonts w:ascii="Verdana" w:hAnsi="Verdana"/>
          <w:color w:val="002060"/>
          <w:szCs w:val="22"/>
        </w:rPr>
        <w:t>)</w:t>
      </w:r>
      <w:r w:rsidR="007278B9" w:rsidRPr="006733A2">
        <w:rPr>
          <w:rFonts w:ascii="Verdana" w:hAnsi="Verdana"/>
          <w:color w:val="002060"/>
          <w:szCs w:val="22"/>
        </w:rPr>
        <w:t xml:space="preserve"> </w:t>
      </w:r>
      <w:r w:rsidRPr="006733A2">
        <w:rPr>
          <w:rFonts w:ascii="Verdana" w:hAnsi="Verdana"/>
          <w:color w:val="002060"/>
          <w:szCs w:val="22"/>
        </w:rPr>
        <w:t>or non-attendance of appointments</w:t>
      </w:r>
      <w:r w:rsidR="00D30E33" w:rsidRPr="006733A2">
        <w:rPr>
          <w:rFonts w:ascii="Verdana" w:hAnsi="Verdana"/>
          <w:color w:val="002060"/>
          <w:szCs w:val="22"/>
        </w:rPr>
        <w:t>. Cancellation fees have</w:t>
      </w:r>
      <w:r w:rsidRPr="006733A2">
        <w:rPr>
          <w:rFonts w:ascii="Verdana" w:hAnsi="Verdana"/>
          <w:color w:val="002060"/>
          <w:szCs w:val="22"/>
        </w:rPr>
        <w:t xml:space="preserve"> no Medicare rebate.</w:t>
      </w:r>
    </w:p>
    <w:sectPr w:rsidR="00854381" w:rsidRPr="006733A2" w:rsidSect="001B6914">
      <w:footerReference w:type="default" r:id="rId6"/>
      <w:pgSz w:w="11906" w:h="16838"/>
      <w:pgMar w:top="1134" w:right="720" w:bottom="720" w:left="720" w:header="720" w:footer="19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3A96B" w14:textId="77777777" w:rsidR="000E5B8D" w:rsidRDefault="000E5B8D" w:rsidP="00854381">
      <w:r>
        <w:separator/>
      </w:r>
    </w:p>
  </w:endnote>
  <w:endnote w:type="continuationSeparator" w:id="0">
    <w:p w14:paraId="27364B75" w14:textId="77777777" w:rsidR="000E5B8D" w:rsidRDefault="000E5B8D" w:rsidP="0085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heSansB W6 SemiBold">
    <w:altName w:val="Calibri"/>
    <w:panose1 w:val="00000000000000000000"/>
    <w:charset w:val="4D"/>
    <w:family w:val="swiss"/>
    <w:notTrueType/>
    <w:pitch w:val="variable"/>
    <w:sig w:usb0="A000006F" w:usb1="5000200A" w:usb2="00000000" w:usb3="00000000" w:csb0="00000093" w:csb1="00000000"/>
  </w:font>
  <w:font w:name="TheSansB W3 Light">
    <w:altName w:val="Segoe UI Semilight"/>
    <w:panose1 w:val="00000000000000000000"/>
    <w:charset w:val="4D"/>
    <w:family w:val="swiss"/>
    <w:notTrueType/>
    <w:pitch w:val="variable"/>
    <w:sig w:usb0="00000001" w:usb1="5000200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D378" w14:textId="03F68017" w:rsidR="00854381" w:rsidRDefault="001B6914">
    <w:pPr>
      <w:pStyle w:val="Footer"/>
    </w:pPr>
    <w:r>
      <w:rPr>
        <w:noProof/>
        <w:lang w:eastAsia="en-AU"/>
      </w:rPr>
      <w:drawing>
        <wp:anchor distT="0" distB="0" distL="114300" distR="114300" simplePos="0" relativeHeight="251659264" behindDoc="1" locked="0" layoutInCell="1" allowOverlap="1" wp14:anchorId="229CA370" wp14:editId="2F857351">
          <wp:simplePos x="0" y="0"/>
          <wp:positionH relativeFrom="margin">
            <wp:posOffset>4324350</wp:posOffset>
          </wp:positionH>
          <wp:positionV relativeFrom="margin">
            <wp:posOffset>8716010</wp:posOffset>
          </wp:positionV>
          <wp:extent cx="2264400" cy="842400"/>
          <wp:effectExtent l="0" t="0" r="3175" b="0"/>
          <wp:wrapNone/>
          <wp:docPr id="136846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67927" name="Picture 1368467927"/>
                  <pic:cNvPicPr/>
                </pic:nvPicPr>
                <pic:blipFill>
                  <a:blip r:embed="rId1">
                    <a:extLst>
                      <a:ext uri="{28A0092B-C50C-407E-A947-70E740481C1C}">
                        <a14:useLocalDpi xmlns:a14="http://schemas.microsoft.com/office/drawing/2010/main" val="0"/>
                      </a:ext>
                    </a:extLst>
                  </a:blip>
                  <a:stretch>
                    <a:fillRect/>
                  </a:stretch>
                </pic:blipFill>
                <pic:spPr>
                  <a:xfrm>
                    <a:off x="0" y="0"/>
                    <a:ext cx="2264400" cy="84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67FE" w14:textId="77777777" w:rsidR="000E5B8D" w:rsidRDefault="000E5B8D" w:rsidP="00854381">
      <w:r>
        <w:separator/>
      </w:r>
    </w:p>
  </w:footnote>
  <w:footnote w:type="continuationSeparator" w:id="0">
    <w:p w14:paraId="360B4258" w14:textId="77777777" w:rsidR="000E5B8D" w:rsidRDefault="000E5B8D" w:rsidP="00854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DD"/>
    <w:rsid w:val="00023EAD"/>
    <w:rsid w:val="00051878"/>
    <w:rsid w:val="0008503D"/>
    <w:rsid w:val="000B556A"/>
    <w:rsid w:val="000E5B8D"/>
    <w:rsid w:val="000F61E9"/>
    <w:rsid w:val="00132F59"/>
    <w:rsid w:val="00167B20"/>
    <w:rsid w:val="00170A97"/>
    <w:rsid w:val="001738A3"/>
    <w:rsid w:val="00177C43"/>
    <w:rsid w:val="001B353A"/>
    <w:rsid w:val="001B6914"/>
    <w:rsid w:val="002004DD"/>
    <w:rsid w:val="00231E49"/>
    <w:rsid w:val="002649C6"/>
    <w:rsid w:val="00280054"/>
    <w:rsid w:val="002C1F44"/>
    <w:rsid w:val="002D7381"/>
    <w:rsid w:val="002E0170"/>
    <w:rsid w:val="00310557"/>
    <w:rsid w:val="00312A34"/>
    <w:rsid w:val="00314361"/>
    <w:rsid w:val="00332FE7"/>
    <w:rsid w:val="00333C87"/>
    <w:rsid w:val="003346FD"/>
    <w:rsid w:val="003C5918"/>
    <w:rsid w:val="00415585"/>
    <w:rsid w:val="00415640"/>
    <w:rsid w:val="004172A9"/>
    <w:rsid w:val="004200F8"/>
    <w:rsid w:val="00434158"/>
    <w:rsid w:val="004538E8"/>
    <w:rsid w:val="00493958"/>
    <w:rsid w:val="004A486B"/>
    <w:rsid w:val="004C6818"/>
    <w:rsid w:val="004F219B"/>
    <w:rsid w:val="004F3A9A"/>
    <w:rsid w:val="00522A03"/>
    <w:rsid w:val="00530E26"/>
    <w:rsid w:val="00546E66"/>
    <w:rsid w:val="00553A47"/>
    <w:rsid w:val="00580E12"/>
    <w:rsid w:val="005B27DB"/>
    <w:rsid w:val="005E67F3"/>
    <w:rsid w:val="00634EAA"/>
    <w:rsid w:val="006733A2"/>
    <w:rsid w:val="0069726B"/>
    <w:rsid w:val="006E1744"/>
    <w:rsid w:val="00723AF7"/>
    <w:rsid w:val="007278B9"/>
    <w:rsid w:val="00742A84"/>
    <w:rsid w:val="00777CA3"/>
    <w:rsid w:val="00785AA1"/>
    <w:rsid w:val="00793121"/>
    <w:rsid w:val="007A6F7C"/>
    <w:rsid w:val="007D11D5"/>
    <w:rsid w:val="008056E0"/>
    <w:rsid w:val="00807B25"/>
    <w:rsid w:val="008230F1"/>
    <w:rsid w:val="00830D84"/>
    <w:rsid w:val="008326A5"/>
    <w:rsid w:val="00854381"/>
    <w:rsid w:val="008F6D1B"/>
    <w:rsid w:val="00903629"/>
    <w:rsid w:val="00903C91"/>
    <w:rsid w:val="00905DC3"/>
    <w:rsid w:val="00963C89"/>
    <w:rsid w:val="0097663D"/>
    <w:rsid w:val="00997451"/>
    <w:rsid w:val="009F7D2B"/>
    <w:rsid w:val="00A624A5"/>
    <w:rsid w:val="00A62A2B"/>
    <w:rsid w:val="00A64B82"/>
    <w:rsid w:val="00A95766"/>
    <w:rsid w:val="00AA67D8"/>
    <w:rsid w:val="00AC1EAB"/>
    <w:rsid w:val="00AC5E95"/>
    <w:rsid w:val="00B315AF"/>
    <w:rsid w:val="00B35531"/>
    <w:rsid w:val="00B864E5"/>
    <w:rsid w:val="00BE486A"/>
    <w:rsid w:val="00BE6FBA"/>
    <w:rsid w:val="00C12AEE"/>
    <w:rsid w:val="00C34027"/>
    <w:rsid w:val="00CB7810"/>
    <w:rsid w:val="00CF51D0"/>
    <w:rsid w:val="00D30E33"/>
    <w:rsid w:val="00D84DBC"/>
    <w:rsid w:val="00D93B01"/>
    <w:rsid w:val="00DA59FF"/>
    <w:rsid w:val="00DE04C2"/>
    <w:rsid w:val="00DF5E28"/>
    <w:rsid w:val="00E42035"/>
    <w:rsid w:val="00E55879"/>
    <w:rsid w:val="00EB6716"/>
    <w:rsid w:val="00EC5D06"/>
    <w:rsid w:val="00EF6649"/>
    <w:rsid w:val="00F512E6"/>
    <w:rsid w:val="00F56979"/>
    <w:rsid w:val="00F86605"/>
    <w:rsid w:val="00F93B2C"/>
    <w:rsid w:val="00FB03DA"/>
    <w:rsid w:val="00FC1930"/>
    <w:rsid w:val="00FC3BFB"/>
    <w:rsid w:val="00FD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141A"/>
  <w15:chartTrackingRefBased/>
  <w15:docId w15:val="{7D6C3C07-FBB3-4269-A1E4-D65F98BB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004DD"/>
    <w:pPr>
      <w:autoSpaceDE w:val="0"/>
      <w:autoSpaceDN w:val="0"/>
      <w:adjustRightInd w:val="0"/>
      <w:spacing w:line="288" w:lineRule="auto"/>
      <w:textAlignment w:val="center"/>
    </w:pPr>
    <w:rPr>
      <w:rFonts w:ascii="Minion Pro" w:hAnsi="Minion Pro" w:cs="Minion Pro"/>
      <w:color w:val="000000"/>
      <w:kern w:val="0"/>
      <w:lang w:val="en-US"/>
    </w:rPr>
  </w:style>
  <w:style w:type="table" w:styleId="TableGrid">
    <w:name w:val="Table Grid"/>
    <w:basedOn w:val="TableNormal"/>
    <w:uiPriority w:val="39"/>
    <w:rsid w:val="0020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381"/>
    <w:pPr>
      <w:tabs>
        <w:tab w:val="center" w:pos="4513"/>
        <w:tab w:val="right" w:pos="9026"/>
      </w:tabs>
    </w:pPr>
  </w:style>
  <w:style w:type="character" w:customStyle="1" w:styleId="HeaderChar">
    <w:name w:val="Header Char"/>
    <w:basedOn w:val="DefaultParagraphFont"/>
    <w:link w:val="Header"/>
    <w:uiPriority w:val="99"/>
    <w:rsid w:val="00854381"/>
  </w:style>
  <w:style w:type="paragraph" w:styleId="Footer">
    <w:name w:val="footer"/>
    <w:basedOn w:val="Normal"/>
    <w:link w:val="FooterChar"/>
    <w:uiPriority w:val="99"/>
    <w:unhideWhenUsed/>
    <w:rsid w:val="00854381"/>
    <w:pPr>
      <w:tabs>
        <w:tab w:val="center" w:pos="4513"/>
        <w:tab w:val="right" w:pos="9026"/>
      </w:tabs>
    </w:pPr>
  </w:style>
  <w:style w:type="character" w:customStyle="1" w:styleId="FooterChar">
    <w:name w:val="Footer Char"/>
    <w:basedOn w:val="DefaultParagraphFont"/>
    <w:link w:val="Footer"/>
    <w:uiPriority w:val="99"/>
    <w:rsid w:val="00854381"/>
  </w:style>
  <w:style w:type="paragraph" w:styleId="BalloonText">
    <w:name w:val="Balloon Text"/>
    <w:basedOn w:val="Normal"/>
    <w:link w:val="BalloonTextChar"/>
    <w:uiPriority w:val="99"/>
    <w:semiHidden/>
    <w:unhideWhenUsed/>
    <w:rsid w:val="001B6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4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Healy</dc:creator>
  <cp:keywords/>
  <dc:description/>
  <cp:lastModifiedBy>Alexander Ramoutsakis</cp:lastModifiedBy>
  <cp:revision>36</cp:revision>
  <cp:lastPrinted>2025-01-06T22:21:00Z</cp:lastPrinted>
  <dcterms:created xsi:type="dcterms:W3CDTF">2024-11-13T00:07:00Z</dcterms:created>
  <dcterms:modified xsi:type="dcterms:W3CDTF">2025-07-17T06:06:00Z</dcterms:modified>
</cp:coreProperties>
</file>